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5A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36"/>
          <w:szCs w:val="36"/>
        </w:rPr>
      </w:pPr>
      <w:r>
        <w:rPr>
          <w:rFonts w:hint="eastAsia"/>
          <w:b/>
          <w:bCs/>
          <w:sz w:val="36"/>
          <w:szCs w:val="36"/>
          <w:lang w:val="en-US" w:eastAsia="zh-CN"/>
        </w:rPr>
        <w:t>北门卫维修改造</w:t>
      </w:r>
      <w:r>
        <w:rPr>
          <w:rFonts w:hint="eastAsia"/>
          <w:b/>
          <w:bCs/>
          <w:sz w:val="36"/>
          <w:szCs w:val="36"/>
        </w:rPr>
        <w:t>工程采购需求</w:t>
      </w:r>
    </w:p>
    <w:p w14:paraId="5180A2BA">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rPr>
      </w:pPr>
      <w:r>
        <w:rPr>
          <w:rFonts w:hint="eastAsia"/>
          <w:b/>
          <w:bCs/>
          <w:sz w:val="28"/>
          <w:szCs w:val="28"/>
        </w:rPr>
        <w:t>一、 项目概况</w:t>
      </w:r>
    </w:p>
    <w:p w14:paraId="588DDE0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1、项目名称：北门卫维修改造工程</w:t>
      </w:r>
    </w:p>
    <w:p w14:paraId="26480D7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2、项目编号：NJDXJ20250701</w:t>
      </w:r>
    </w:p>
    <w:p w14:paraId="18A558B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3、</w:t>
      </w:r>
      <w:r>
        <w:rPr>
          <w:rFonts w:hint="eastAsia"/>
          <w:sz w:val="28"/>
          <w:szCs w:val="28"/>
        </w:rPr>
        <w:t>详见工程量清单，并仔细进行现场踏勘</w:t>
      </w:r>
      <w:r>
        <w:rPr>
          <w:rFonts w:hint="eastAsia"/>
          <w:sz w:val="28"/>
          <w:szCs w:val="28"/>
          <w:lang w:eastAsia="zh-CN"/>
        </w:rPr>
        <w:t>（</w:t>
      </w:r>
      <w:r>
        <w:rPr>
          <w:rFonts w:hint="eastAsia"/>
          <w:sz w:val="28"/>
          <w:szCs w:val="28"/>
          <w:lang w:val="en-US" w:eastAsia="zh-CN"/>
        </w:rPr>
        <w:t>具体日期见公告</w:t>
      </w:r>
      <w:r>
        <w:rPr>
          <w:rFonts w:hint="eastAsia"/>
          <w:sz w:val="28"/>
          <w:szCs w:val="28"/>
          <w:lang w:eastAsia="zh-CN"/>
        </w:rPr>
        <w:t>）</w:t>
      </w:r>
      <w:r>
        <w:rPr>
          <w:rFonts w:hint="eastAsia"/>
          <w:sz w:val="28"/>
          <w:szCs w:val="28"/>
        </w:rPr>
        <w:t>。</w:t>
      </w:r>
    </w:p>
    <w:p w14:paraId="0A53F6E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现场集中考察后组织答疑：</w:t>
      </w:r>
      <w:bookmarkStart w:id="0" w:name="_GoBack"/>
      <w:bookmarkEnd w:id="0"/>
    </w:p>
    <w:p w14:paraId="56B948A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1）供应商请在规定的时间进行考察、答疑，其他时间采购人恕不接待。</w:t>
      </w:r>
    </w:p>
    <w:p w14:paraId="23182C4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2）供应商请务必对项目现场和周围环境进行仔细认真地查勘，在随后的应答中，需明确对现场设备的清单补充、基础搭建，对现场资料和数据所作出的推论、解释和结论及由此造成的后果由供应商负责。</w:t>
      </w:r>
    </w:p>
    <w:p w14:paraId="42A203B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3）未考察现场或考察工作不详细的供应商中选后，不得以不完全了解现场情况为理由而向采购人提出任何索赔或其他要求，对此采购人不承担任何责任并将不作任何答复。</w:t>
      </w:r>
    </w:p>
    <w:p w14:paraId="1A496B9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技术标准和要求：本工程按国家、省、市最新技术标准和规范执行。</w:t>
      </w:r>
    </w:p>
    <w:p w14:paraId="0DB0D35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5、</w:t>
      </w:r>
      <w:r>
        <w:rPr>
          <w:rFonts w:hint="eastAsia"/>
          <w:sz w:val="28"/>
          <w:szCs w:val="28"/>
        </w:rPr>
        <w:t>工期要求：</w:t>
      </w:r>
      <w:r>
        <w:rPr>
          <w:rFonts w:hint="eastAsia"/>
          <w:sz w:val="28"/>
          <w:szCs w:val="28"/>
          <w:lang w:val="en-US" w:eastAsia="zh-CN"/>
        </w:rPr>
        <w:t>工期为30天</w:t>
      </w:r>
    </w:p>
    <w:p w14:paraId="53A8DB3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rPr>
      </w:pPr>
      <w:r>
        <w:rPr>
          <w:rFonts w:hint="eastAsia"/>
          <w:b/>
          <w:bCs/>
          <w:sz w:val="28"/>
          <w:szCs w:val="28"/>
          <w:lang w:val="en-US" w:eastAsia="zh-CN"/>
        </w:rPr>
        <w:t>二、</w:t>
      </w:r>
      <w:r>
        <w:rPr>
          <w:rFonts w:hint="eastAsia"/>
          <w:b/>
          <w:bCs/>
          <w:sz w:val="28"/>
          <w:szCs w:val="28"/>
        </w:rPr>
        <w:t>质保要求</w:t>
      </w:r>
    </w:p>
    <w:p w14:paraId="6B26290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1</w:t>
      </w:r>
      <w:r>
        <w:rPr>
          <w:rFonts w:hint="eastAsia"/>
          <w:sz w:val="28"/>
          <w:szCs w:val="28"/>
          <w:lang w:eastAsia="zh-CN"/>
        </w:rPr>
        <w:t>、</w:t>
      </w:r>
      <w:r>
        <w:rPr>
          <w:rFonts w:hint="eastAsia"/>
          <w:sz w:val="28"/>
          <w:szCs w:val="28"/>
        </w:rPr>
        <w:t>建筑装饰质量保修期从工程实际竣工之日算起，双方约定质量保修期为</w:t>
      </w:r>
      <w:r>
        <w:rPr>
          <w:rFonts w:hint="eastAsia"/>
          <w:sz w:val="28"/>
          <w:szCs w:val="28"/>
          <w:lang w:val="en-US" w:eastAsia="zh-CN"/>
        </w:rPr>
        <w:t>3</w:t>
      </w:r>
      <w:r>
        <w:rPr>
          <w:rFonts w:hint="eastAsia"/>
          <w:sz w:val="28"/>
          <w:szCs w:val="28"/>
        </w:rPr>
        <w:t>年。</w:t>
      </w:r>
    </w:p>
    <w:p w14:paraId="7BF0BA6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lang w:val="en-US" w:eastAsia="zh-CN"/>
        </w:rPr>
        <w:t>2</w:t>
      </w:r>
      <w:r>
        <w:rPr>
          <w:rFonts w:hint="eastAsia"/>
          <w:sz w:val="28"/>
          <w:szCs w:val="28"/>
          <w:lang w:eastAsia="zh-CN"/>
        </w:rPr>
        <w:t>、</w:t>
      </w:r>
      <w:r>
        <w:rPr>
          <w:rFonts w:hint="eastAsia"/>
          <w:sz w:val="28"/>
          <w:szCs w:val="28"/>
        </w:rPr>
        <w:t xml:space="preserve">其他项目保修期限约定如下：                </w:t>
      </w:r>
    </w:p>
    <w:p w14:paraId="5D2C1B8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质量保修期自工程竣工验收合格之日起计算。</w:t>
      </w:r>
    </w:p>
    <w:p w14:paraId="002995C4">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rPr>
      </w:pPr>
      <w:r>
        <w:rPr>
          <w:rFonts w:hint="eastAsia"/>
          <w:b/>
          <w:bCs/>
          <w:sz w:val="28"/>
          <w:szCs w:val="28"/>
        </w:rPr>
        <w:t>三、质量保修责任</w:t>
      </w:r>
    </w:p>
    <w:p w14:paraId="566333C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1</w:t>
      </w:r>
      <w:r>
        <w:rPr>
          <w:rFonts w:hint="eastAsia"/>
          <w:sz w:val="28"/>
          <w:szCs w:val="28"/>
          <w:lang w:eastAsia="zh-CN"/>
        </w:rPr>
        <w:t>、</w:t>
      </w:r>
      <w:r>
        <w:rPr>
          <w:rFonts w:hint="eastAsia"/>
          <w:sz w:val="28"/>
          <w:szCs w:val="28"/>
        </w:rPr>
        <w:t>属于保修范围和内容的项目，承包人应在接到修理通知之日后3天内派人修理。承包人不在约定期限内，派人修理，发包人可委托其他人员修理，保修费用从质量保修金内扣除。</w:t>
      </w:r>
    </w:p>
    <w:p w14:paraId="36C54BC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2</w:t>
      </w:r>
      <w:r>
        <w:rPr>
          <w:rFonts w:hint="eastAsia"/>
          <w:sz w:val="28"/>
          <w:szCs w:val="28"/>
          <w:lang w:eastAsia="zh-CN"/>
        </w:rPr>
        <w:t>、</w:t>
      </w:r>
      <w:r>
        <w:rPr>
          <w:rFonts w:hint="eastAsia"/>
          <w:sz w:val="28"/>
          <w:szCs w:val="28"/>
        </w:rPr>
        <w:t>发生须紧急抢修事故，承包人接到事故通知后，应立即到达事故现场抢修。非承包人施工质量引起的事故，抢修费用由发包人承担。</w:t>
      </w:r>
    </w:p>
    <w:p w14:paraId="49F80EC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在国家规定的工程合理使用期限内，因承包人原因致使工程在合理使用期限内造成人身和财产损害的，承包人应承担损害赔偿责任。</w:t>
      </w:r>
    </w:p>
    <w:p w14:paraId="4C5B655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rPr>
      </w:pPr>
      <w:r>
        <w:rPr>
          <w:rFonts w:hint="eastAsia"/>
          <w:b/>
          <w:bCs/>
          <w:sz w:val="28"/>
          <w:szCs w:val="28"/>
        </w:rPr>
        <w:t>四、施工要求</w:t>
      </w:r>
    </w:p>
    <w:p w14:paraId="694CC420">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1、严格按照相关要求实施拆除，同时做好降尘工作。</w:t>
      </w:r>
    </w:p>
    <w:p w14:paraId="410CFEE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2、应设置明显的安全警示牌，划定危险区域，设置夜间作业警示，所需一切费用，均由应答人承担。</w:t>
      </w:r>
    </w:p>
    <w:p w14:paraId="2A9CBB3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3、建筑垃圾清运包含在本次招标范围之内，中标单位在将房屋拆除后，需将所有垃圾清运至相应地点。</w:t>
      </w:r>
    </w:p>
    <w:p w14:paraId="6C33320A">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lang w:eastAsia="zh-CN"/>
        </w:rPr>
      </w:pPr>
      <w:r>
        <w:rPr>
          <w:rFonts w:hint="eastAsia"/>
          <w:b/>
          <w:bCs/>
          <w:sz w:val="28"/>
          <w:szCs w:val="28"/>
          <w:lang w:val="en-US" w:eastAsia="zh-CN"/>
        </w:rPr>
        <w:t>五、</w:t>
      </w:r>
      <w:r>
        <w:rPr>
          <w:rFonts w:hint="eastAsia"/>
          <w:b/>
          <w:bCs/>
          <w:sz w:val="28"/>
          <w:szCs w:val="28"/>
        </w:rPr>
        <w:t>工程价款结算</w:t>
      </w:r>
    </w:p>
    <w:p w14:paraId="4C648B2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rPr>
      </w:pPr>
      <w:r>
        <w:rPr>
          <w:rFonts w:hint="eastAsia"/>
          <w:sz w:val="28"/>
          <w:szCs w:val="28"/>
        </w:rPr>
        <w:t>本工程经审计后，支付</w:t>
      </w:r>
      <w:r>
        <w:rPr>
          <w:rFonts w:hint="eastAsia"/>
          <w:sz w:val="28"/>
          <w:szCs w:val="28"/>
          <w:lang w:val="en-US" w:eastAsia="zh-CN"/>
        </w:rPr>
        <w:t>审计额的100%</w:t>
      </w:r>
      <w:r>
        <w:rPr>
          <w:rFonts w:hint="eastAsia"/>
          <w:sz w:val="28"/>
          <w:szCs w:val="28"/>
        </w:rPr>
        <w:t>。</w:t>
      </w:r>
    </w:p>
    <w:p w14:paraId="581E6594">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b/>
          <w:bCs/>
          <w:sz w:val="24"/>
          <w:szCs w:val="24"/>
        </w:rPr>
      </w:pPr>
      <w:r>
        <w:rPr>
          <w:rFonts w:hint="eastAsia"/>
          <w:b/>
          <w:bCs/>
          <w:sz w:val="24"/>
          <w:szCs w:val="24"/>
          <w:lang w:val="en-US" w:eastAsia="zh-CN"/>
        </w:rPr>
        <w:t>备注：</w:t>
      </w:r>
      <w:r>
        <w:rPr>
          <w:rFonts w:hint="eastAsia"/>
          <w:b/>
          <w:bCs/>
          <w:sz w:val="24"/>
          <w:szCs w:val="24"/>
        </w:rPr>
        <w:t>审计费的收费标准为：核减不足5%的不缴纳审计费，核减5%（含5%）-8%的缴纳审计费的20%，核减8%（含8%）-10%的缴纳审计费的80%，超过10%(含10%）的缴纳审计费的100%，审计费按审定金额的0.28%加核减额的5%计算。</w:t>
      </w:r>
    </w:p>
    <w:p w14:paraId="3368EC5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lang w:val="en-US" w:eastAsia="zh-CN"/>
        </w:rPr>
      </w:pPr>
      <w:r>
        <w:rPr>
          <w:rFonts w:hint="eastAsia"/>
          <w:b/>
          <w:bCs/>
          <w:sz w:val="28"/>
          <w:szCs w:val="28"/>
          <w:lang w:val="en-US" w:eastAsia="zh-CN"/>
        </w:rPr>
        <w:t>六、</w:t>
      </w:r>
      <w:r>
        <w:rPr>
          <w:rFonts w:hint="eastAsia"/>
          <w:b/>
          <w:bCs/>
          <w:sz w:val="28"/>
          <w:szCs w:val="28"/>
        </w:rPr>
        <w:t>主要材料品牌表</w:t>
      </w:r>
    </w:p>
    <w:tbl>
      <w:tblPr>
        <w:tblStyle w:val="4"/>
        <w:tblW w:w="5227" w:type="pct"/>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20"/>
        <w:gridCol w:w="2880"/>
        <w:gridCol w:w="3810"/>
      </w:tblGrid>
      <w:tr w14:paraId="68A4BD07">
        <w:tblPrEx>
          <w:tblCellMar>
            <w:top w:w="0" w:type="dxa"/>
            <w:left w:w="108" w:type="dxa"/>
            <w:bottom w:w="0" w:type="dxa"/>
            <w:right w:w="108" w:type="dxa"/>
          </w:tblCellMar>
        </w:tblPrEx>
        <w:trPr>
          <w:trHeight w:val="501" w:hRule="atLeast"/>
        </w:trPr>
        <w:tc>
          <w:tcPr>
            <w:tcW w:w="392" w:type="pct"/>
            <w:shd w:val="clear" w:color="auto" w:fill="auto"/>
            <w:noWrap/>
            <w:vAlign w:val="center"/>
          </w:tcPr>
          <w:p w14:paraId="54BF9498">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序号</w:t>
            </w:r>
          </w:p>
        </w:tc>
        <w:tc>
          <w:tcPr>
            <w:tcW w:w="852" w:type="pct"/>
            <w:shd w:val="clear" w:color="auto" w:fill="auto"/>
            <w:noWrap/>
            <w:vAlign w:val="center"/>
          </w:tcPr>
          <w:p w14:paraId="6707B51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材料名称</w:t>
            </w:r>
          </w:p>
        </w:tc>
        <w:tc>
          <w:tcPr>
            <w:tcW w:w="1616" w:type="pct"/>
            <w:shd w:val="clear" w:color="auto" w:fill="auto"/>
            <w:noWrap/>
            <w:vAlign w:val="center"/>
          </w:tcPr>
          <w:p w14:paraId="3ACD7C7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规格型号</w:t>
            </w:r>
          </w:p>
        </w:tc>
        <w:tc>
          <w:tcPr>
            <w:tcW w:w="2138" w:type="pct"/>
            <w:shd w:val="clear" w:color="auto" w:fill="auto"/>
            <w:noWrap/>
            <w:vAlign w:val="center"/>
          </w:tcPr>
          <w:p w14:paraId="267CFF00">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推荐品牌</w:t>
            </w:r>
          </w:p>
        </w:tc>
      </w:tr>
      <w:tr w14:paraId="780A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2" w:type="pct"/>
            <w:shd w:val="clear" w:color="auto" w:fill="auto"/>
            <w:noWrap/>
            <w:vAlign w:val="center"/>
          </w:tcPr>
          <w:p w14:paraId="2444CD83">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852" w:type="pct"/>
            <w:shd w:val="clear" w:color="auto" w:fill="auto"/>
            <w:noWrap/>
            <w:vAlign w:val="center"/>
          </w:tcPr>
          <w:p w14:paraId="628E1756">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rPr>
              <w:t>乳胶漆</w:t>
            </w:r>
            <w:r>
              <w:rPr>
                <w:rFonts w:hint="eastAsia" w:ascii="宋体" w:hAnsi="宋体" w:eastAsia="宋体" w:cs="宋体"/>
                <w:sz w:val="24"/>
                <w:szCs w:val="24"/>
                <w:highlight w:val="none"/>
                <w:lang w:val="en-US" w:eastAsia="zh-CN"/>
              </w:rPr>
              <w:t xml:space="preserve">  </w:t>
            </w:r>
          </w:p>
        </w:tc>
        <w:tc>
          <w:tcPr>
            <w:tcW w:w="1616" w:type="pct"/>
            <w:shd w:val="clear" w:color="auto" w:fill="auto"/>
            <w:noWrap/>
            <w:vAlign w:val="center"/>
          </w:tcPr>
          <w:p w14:paraId="38328FCF">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国标 </w:t>
            </w:r>
          </w:p>
        </w:tc>
        <w:tc>
          <w:tcPr>
            <w:tcW w:w="2138" w:type="pct"/>
            <w:shd w:val="clear" w:color="auto" w:fill="auto"/>
            <w:noWrap/>
            <w:vAlign w:val="center"/>
          </w:tcPr>
          <w:p w14:paraId="0A1EF2F9">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lang w:val="en-US"/>
              </w:rPr>
              <w:t>立邦、多乐士</w:t>
            </w:r>
            <w:r>
              <w:rPr>
                <w:rFonts w:hint="eastAsia" w:ascii="宋体" w:hAnsi="宋体" w:eastAsia="宋体" w:cs="宋体"/>
                <w:sz w:val="24"/>
              </w:rPr>
              <w:t>、华润</w:t>
            </w:r>
            <w:r>
              <w:rPr>
                <w:rFonts w:hint="eastAsia" w:ascii="宋体" w:hAnsi="宋体" w:eastAsia="宋体" w:cs="宋体"/>
                <w:sz w:val="24"/>
                <w:szCs w:val="24"/>
                <w:highlight w:val="none"/>
                <w:lang w:val="en-US" w:eastAsia="zh-CN"/>
              </w:rPr>
              <w:t xml:space="preserve"> </w:t>
            </w:r>
          </w:p>
        </w:tc>
      </w:tr>
      <w:tr w14:paraId="1341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2" w:type="pct"/>
            <w:shd w:val="clear" w:color="auto" w:fill="auto"/>
            <w:noWrap/>
            <w:vAlign w:val="center"/>
          </w:tcPr>
          <w:p w14:paraId="6466175E">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w:t>
            </w:r>
          </w:p>
        </w:tc>
        <w:tc>
          <w:tcPr>
            <w:tcW w:w="852" w:type="pct"/>
            <w:shd w:val="clear" w:color="auto" w:fill="auto"/>
            <w:noWrap/>
            <w:vAlign w:val="center"/>
          </w:tcPr>
          <w:p w14:paraId="3E2CA18F">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铝合金型材</w:t>
            </w:r>
          </w:p>
        </w:tc>
        <w:tc>
          <w:tcPr>
            <w:tcW w:w="1616" w:type="pct"/>
            <w:shd w:val="clear" w:color="auto" w:fill="auto"/>
            <w:noWrap/>
            <w:vAlign w:val="center"/>
          </w:tcPr>
          <w:p w14:paraId="7EBA3EB1">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断桥隔热90-100型材 </w:t>
            </w:r>
          </w:p>
        </w:tc>
        <w:tc>
          <w:tcPr>
            <w:tcW w:w="2138" w:type="pct"/>
            <w:shd w:val="clear" w:color="auto" w:fill="auto"/>
            <w:noWrap/>
            <w:vAlign w:val="center"/>
          </w:tcPr>
          <w:p w14:paraId="18F1F89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凤铝、伟业、伟昌</w:t>
            </w:r>
          </w:p>
        </w:tc>
      </w:tr>
      <w:tr w14:paraId="18AC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2" w:type="pct"/>
            <w:shd w:val="clear" w:color="auto" w:fill="auto"/>
            <w:noWrap/>
            <w:vAlign w:val="center"/>
          </w:tcPr>
          <w:p w14:paraId="6377848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w:t>
            </w:r>
          </w:p>
        </w:tc>
        <w:tc>
          <w:tcPr>
            <w:tcW w:w="852" w:type="pct"/>
            <w:shd w:val="clear" w:color="auto" w:fill="auto"/>
            <w:noWrap/>
            <w:vAlign w:val="center"/>
          </w:tcPr>
          <w:p w14:paraId="77FE1D3F">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rPr>
              <w:t>玻璃</w:t>
            </w:r>
          </w:p>
        </w:tc>
        <w:tc>
          <w:tcPr>
            <w:tcW w:w="1616" w:type="pct"/>
            <w:shd w:val="clear" w:color="auto" w:fill="auto"/>
            <w:noWrap/>
            <w:vAlign w:val="center"/>
          </w:tcPr>
          <w:p w14:paraId="4B3660FE">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 LOW-E 6+12A+6钢化白玻  </w:t>
            </w:r>
            <w:r>
              <w:rPr>
                <w:rFonts w:hint="eastAsia" w:ascii="宋体" w:hAnsi="宋体" w:eastAsia="宋体" w:cs="宋体"/>
                <w:kern w:val="2"/>
                <w:sz w:val="24"/>
                <w:szCs w:val="24"/>
                <w:highlight w:val="none"/>
                <w:lang w:val="en-US" w:eastAsia="zh-CN" w:bidi="ar-SA"/>
              </w:rPr>
              <w:t xml:space="preserve"> </w:t>
            </w:r>
          </w:p>
        </w:tc>
        <w:tc>
          <w:tcPr>
            <w:tcW w:w="2138" w:type="pct"/>
            <w:shd w:val="clear" w:color="auto" w:fill="auto"/>
            <w:noWrap/>
            <w:vAlign w:val="center"/>
          </w:tcPr>
          <w:p w14:paraId="6923739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lang w:val="en-US" w:eastAsia="zh-CN"/>
              </w:rPr>
              <w:t>台玻</w:t>
            </w:r>
            <w:r>
              <w:rPr>
                <w:rFonts w:hint="eastAsia" w:ascii="宋体" w:hAnsi="宋体" w:eastAsia="宋体" w:cs="宋体"/>
                <w:sz w:val="24"/>
              </w:rPr>
              <w:t>、</w:t>
            </w:r>
            <w:r>
              <w:rPr>
                <w:rFonts w:hint="eastAsia" w:ascii="宋体" w:hAnsi="宋体" w:eastAsia="宋体" w:cs="宋体"/>
                <w:sz w:val="24"/>
                <w:lang w:val="en-US"/>
              </w:rPr>
              <w:t>南玻</w:t>
            </w:r>
            <w:r>
              <w:rPr>
                <w:rFonts w:hint="eastAsia" w:ascii="宋体" w:hAnsi="宋体" w:eastAsia="宋体" w:cs="宋体"/>
                <w:sz w:val="24"/>
              </w:rPr>
              <w:t>、信义</w:t>
            </w:r>
          </w:p>
        </w:tc>
      </w:tr>
      <w:tr w14:paraId="477E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2" w:type="pct"/>
            <w:shd w:val="clear" w:color="auto" w:fill="auto"/>
            <w:noWrap/>
            <w:vAlign w:val="center"/>
          </w:tcPr>
          <w:p w14:paraId="355864E1">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w:t>
            </w:r>
          </w:p>
        </w:tc>
        <w:tc>
          <w:tcPr>
            <w:tcW w:w="852" w:type="pct"/>
            <w:shd w:val="clear" w:color="auto" w:fill="auto"/>
            <w:noWrap/>
            <w:vAlign w:val="center"/>
          </w:tcPr>
          <w:p w14:paraId="0C661BAB">
            <w:pPr>
              <w:keepLines w:val="0"/>
              <w:pageBreakBefore w:val="0"/>
              <w:tabs>
                <w:tab w:val="left" w:pos="1793"/>
              </w:tabs>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sz w:val="24"/>
              </w:rPr>
              <w:t>镀锌管</w:t>
            </w:r>
          </w:p>
        </w:tc>
        <w:tc>
          <w:tcPr>
            <w:tcW w:w="1616" w:type="pct"/>
            <w:shd w:val="clear" w:color="auto" w:fill="auto"/>
            <w:noWrap/>
            <w:vAlign w:val="center"/>
          </w:tcPr>
          <w:p w14:paraId="0FFF206A">
            <w:pPr>
              <w:keepLines w:val="0"/>
              <w:pageBreakBefore w:val="0"/>
              <w:tabs>
                <w:tab w:val="left" w:pos="1793"/>
              </w:tabs>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200~60mm*5mm厚</w:t>
            </w:r>
          </w:p>
        </w:tc>
        <w:tc>
          <w:tcPr>
            <w:tcW w:w="2138" w:type="pct"/>
            <w:shd w:val="clear" w:color="auto" w:fill="auto"/>
            <w:noWrap/>
            <w:vAlign w:val="center"/>
          </w:tcPr>
          <w:p w14:paraId="57A6630F">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rPr>
              <w:t>无锡湖光、苏州勤丰、常熟沙家浜</w:t>
            </w:r>
          </w:p>
        </w:tc>
      </w:tr>
      <w:tr w14:paraId="19C3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2" w:type="pct"/>
            <w:shd w:val="clear" w:color="auto" w:fill="auto"/>
            <w:noWrap/>
            <w:vAlign w:val="center"/>
          </w:tcPr>
          <w:p w14:paraId="31ACE457">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yellow"/>
                <w:lang w:val="en-US"/>
              </w:rPr>
            </w:pPr>
            <w:r>
              <w:rPr>
                <w:rFonts w:hint="eastAsia" w:ascii="宋体" w:hAnsi="宋体" w:eastAsia="宋体" w:cs="宋体"/>
                <w:sz w:val="24"/>
                <w:szCs w:val="24"/>
                <w:highlight w:val="none"/>
                <w:lang w:val="en-US"/>
              </w:rPr>
              <w:t>5</w:t>
            </w:r>
          </w:p>
        </w:tc>
        <w:tc>
          <w:tcPr>
            <w:tcW w:w="852" w:type="pct"/>
            <w:shd w:val="clear" w:color="auto" w:fill="auto"/>
            <w:noWrap/>
            <w:vAlign w:val="center"/>
          </w:tcPr>
          <w:p w14:paraId="500E516D">
            <w:pPr>
              <w:keepLines w:val="0"/>
              <w:pageBreakBefore w:val="0"/>
              <w:tabs>
                <w:tab w:val="left" w:pos="1793"/>
              </w:tabs>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sz w:val="24"/>
              </w:rPr>
              <w:t>水泥</w:t>
            </w:r>
          </w:p>
        </w:tc>
        <w:tc>
          <w:tcPr>
            <w:tcW w:w="1616" w:type="pct"/>
            <w:shd w:val="clear" w:color="auto" w:fill="auto"/>
            <w:noWrap/>
            <w:vAlign w:val="center"/>
          </w:tcPr>
          <w:p w14:paraId="1E97AC63">
            <w:pPr>
              <w:keepLines w:val="0"/>
              <w:pageBreakBefore w:val="0"/>
              <w:tabs>
                <w:tab w:val="left" w:pos="1793"/>
              </w:tabs>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42.5级普通硅酸盐水泥</w:t>
            </w:r>
            <w:r>
              <w:rPr>
                <w:rFonts w:hint="eastAsia" w:ascii="宋体" w:hAnsi="宋体" w:eastAsia="宋体" w:cs="宋体"/>
                <w:sz w:val="24"/>
                <w:szCs w:val="24"/>
                <w:highlight w:val="none"/>
                <w:lang w:val="en-US" w:eastAsia="zh-CN"/>
              </w:rPr>
              <w:t xml:space="preserve"> </w:t>
            </w:r>
          </w:p>
        </w:tc>
        <w:tc>
          <w:tcPr>
            <w:tcW w:w="2138" w:type="pct"/>
            <w:shd w:val="clear" w:color="auto" w:fill="auto"/>
            <w:vAlign w:val="center"/>
          </w:tcPr>
          <w:p w14:paraId="630EEEC2">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yellow"/>
                <w:lang w:val="en-US"/>
              </w:rPr>
            </w:pPr>
            <w:r>
              <w:rPr>
                <w:rFonts w:hint="eastAsia" w:ascii="宋体" w:hAnsi="宋体" w:eastAsia="宋体" w:cs="宋体"/>
                <w:sz w:val="24"/>
              </w:rPr>
              <w:t>天龙、海螺、江南</w:t>
            </w:r>
          </w:p>
        </w:tc>
      </w:tr>
    </w:tbl>
    <w:p w14:paraId="5E71EF58">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b/>
          <w:bCs/>
          <w:sz w:val="28"/>
          <w:szCs w:val="28"/>
        </w:rPr>
      </w:pPr>
      <w:r>
        <w:rPr>
          <w:rFonts w:hint="eastAsia"/>
          <w:b/>
          <w:bCs/>
          <w:sz w:val="28"/>
          <w:szCs w:val="28"/>
        </w:rPr>
        <w:t>（</w:t>
      </w:r>
      <w:r>
        <w:rPr>
          <w:rFonts w:hint="eastAsia"/>
          <w:b/>
          <w:bCs/>
          <w:sz w:val="28"/>
          <w:szCs w:val="28"/>
          <w:lang w:val="en-US" w:eastAsia="zh-CN"/>
        </w:rPr>
        <w:t>以上六点</w:t>
      </w:r>
      <w:r>
        <w:rPr>
          <w:rFonts w:hint="eastAsia"/>
          <w:b/>
          <w:bCs/>
          <w:sz w:val="28"/>
          <w:szCs w:val="28"/>
        </w:rPr>
        <w:t>提供承诺函</w:t>
      </w:r>
      <w:r>
        <w:rPr>
          <w:rFonts w:hint="eastAsia"/>
          <w:b/>
          <w:bCs/>
          <w:sz w:val="28"/>
          <w:szCs w:val="28"/>
          <w:lang w:val="en-US" w:eastAsia="zh-CN"/>
        </w:rPr>
        <w:t>并</w:t>
      </w:r>
      <w:r>
        <w:rPr>
          <w:rFonts w:hint="eastAsia"/>
          <w:b/>
          <w:bCs/>
          <w:sz w:val="28"/>
          <w:szCs w:val="28"/>
        </w:rPr>
        <w:t>加盖公章格式自拟）</w:t>
      </w:r>
    </w:p>
    <w:p w14:paraId="061443F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sz w:val="28"/>
          <w:szCs w:val="28"/>
          <w:lang w:eastAsia="zh-CN"/>
        </w:rPr>
      </w:pPr>
      <w:r>
        <w:rPr>
          <w:rFonts w:hint="eastAsia"/>
          <w:sz w:val="28"/>
          <w:szCs w:val="28"/>
          <w:lang w:val="en-US" w:eastAsia="zh-CN"/>
        </w:rPr>
        <w:t>七、</w:t>
      </w:r>
      <w:r>
        <w:rPr>
          <w:rFonts w:hint="eastAsia"/>
          <w:sz w:val="28"/>
          <w:szCs w:val="28"/>
        </w:rPr>
        <w:t>本项目的特定资格要求</w:t>
      </w:r>
      <w:r>
        <w:rPr>
          <w:rFonts w:hint="eastAsia"/>
          <w:sz w:val="28"/>
          <w:szCs w:val="28"/>
          <w:lang w:eastAsia="zh-CN"/>
        </w:rPr>
        <w:t>：</w:t>
      </w:r>
    </w:p>
    <w:p w14:paraId="4959B49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b/>
          <w:bCs/>
          <w:sz w:val="28"/>
          <w:szCs w:val="28"/>
          <w:lang w:eastAsia="zh-CN"/>
        </w:rPr>
      </w:pPr>
      <w:r>
        <w:rPr>
          <w:rFonts w:hint="eastAsia"/>
          <w:sz w:val="28"/>
          <w:szCs w:val="28"/>
        </w:rPr>
        <w:t>供应商须具有有效期内建筑装修装饰工程专业承包资质二级及以上证书或建筑工程施工总承包三级及以上证书</w:t>
      </w:r>
      <w:r>
        <w:rPr>
          <w:rFonts w:hint="eastAsia"/>
          <w:sz w:val="28"/>
          <w:szCs w:val="28"/>
          <w:lang w:eastAsia="zh-CN"/>
        </w:rPr>
        <w:t>。</w:t>
      </w:r>
      <w:r>
        <w:rPr>
          <w:rFonts w:hint="eastAsia"/>
          <w:b/>
          <w:bCs/>
          <w:sz w:val="28"/>
          <w:szCs w:val="28"/>
          <w:lang w:eastAsia="zh-CN"/>
        </w:rPr>
        <w:t>（</w:t>
      </w:r>
      <w:r>
        <w:rPr>
          <w:rFonts w:hint="eastAsia"/>
          <w:b/>
          <w:bCs/>
          <w:sz w:val="28"/>
          <w:szCs w:val="28"/>
        </w:rPr>
        <w:t>提供证书复印件并加盖公章</w:t>
      </w:r>
      <w:r>
        <w:rPr>
          <w:rFonts w:hint="eastAsia"/>
          <w:b/>
          <w:bCs/>
          <w:sz w:val="28"/>
          <w:szCs w:val="28"/>
          <w:lang w:eastAsia="zh-CN"/>
        </w:rPr>
        <w:t>）</w:t>
      </w:r>
    </w:p>
    <w:p w14:paraId="500EDF6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000000"/>
    <w:rsid w:val="0008568F"/>
    <w:rsid w:val="05E877FD"/>
    <w:rsid w:val="086B6DB2"/>
    <w:rsid w:val="087815FF"/>
    <w:rsid w:val="08C5206A"/>
    <w:rsid w:val="221551C1"/>
    <w:rsid w:val="296128B6"/>
    <w:rsid w:val="2C5E1105"/>
    <w:rsid w:val="34991F9B"/>
    <w:rsid w:val="3F730836"/>
    <w:rsid w:val="439C6D65"/>
    <w:rsid w:val="4F6B424B"/>
    <w:rsid w:val="5D701C36"/>
    <w:rsid w:val="714872FF"/>
    <w:rsid w:val="783D40A2"/>
    <w:rsid w:val="7A3F0BEB"/>
    <w:rsid w:val="7ADF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1059</Characters>
  <Lines>0</Lines>
  <Paragraphs>0</Paragraphs>
  <TotalTime>22</TotalTime>
  <ScaleCrop>false</ScaleCrop>
  <LinksUpToDate>false</LinksUpToDate>
  <CharactersWithSpaces>1087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2025-03-10T07:15:00Z</dcterms:created>
  <dc:creator>stanly</dc:creator>
  <cp:lastModifiedBy>stanly</cp:lastModifiedBy>
  <dcterms:modified xsi:type="dcterms:W3CDTF">2025-07-04T11:51:47Z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FC4920C16E124AF7B2590DFEBF41E776_13</vt:lpwstr>
  </property>
  <property fmtid="{D5CDD505-2E9C-101B-9397-08002B2CF9AE}" pid="4" name="KSOTemplateDocerSaveRecord">
    <vt:lpwstr>eyJoZGlkIjoiOWM3NzFmNjVlYzQ0NmFkYWIzMjJlOWE1MjU1YWJkZDciLCJ1c2VySWQiOiIyNzYzNjA2NjgifQ==</vt:lpwstr>
  </property>
</Properties>
</file>